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B7" w:rsidRDefault="00AB4CB7" w:rsidP="00FB0745">
      <w:pPr>
        <w:tabs>
          <w:tab w:val="left" w:pos="2268"/>
        </w:tabs>
        <w:jc w:val="both"/>
      </w:pPr>
      <w:r>
        <w:rPr>
          <w:noProof/>
          <w:lang w:eastAsia="en-GB"/>
        </w:rPr>
        <w:drawing>
          <wp:anchor distT="0" distB="0" distL="114300" distR="114300" simplePos="0" relativeHeight="251659264" behindDoc="1" locked="0" layoutInCell="1" allowOverlap="1" wp14:anchorId="74E613BA" wp14:editId="398FAC8C">
            <wp:simplePos x="0" y="0"/>
            <wp:positionH relativeFrom="column">
              <wp:posOffset>5343896</wp:posOffset>
            </wp:positionH>
            <wp:positionV relativeFrom="paragraph">
              <wp:posOffset>-451262</wp:posOffset>
            </wp:positionV>
            <wp:extent cx="1057275" cy="1412114"/>
            <wp:effectExtent l="0" t="0" r="0" b="0"/>
            <wp:wrapTight wrapText="bothSides">
              <wp:wrapPolygon edited="0">
                <wp:start x="0" y="0"/>
                <wp:lineTo x="0" y="21279"/>
                <wp:lineTo x="21016" y="21279"/>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12114"/>
                    </a:xfrm>
                    <a:prstGeom prst="rect">
                      <a:avLst/>
                    </a:prstGeom>
                    <a:noFill/>
                  </pic:spPr>
                </pic:pic>
              </a:graphicData>
            </a:graphic>
            <wp14:sizeRelH relativeFrom="page">
              <wp14:pctWidth>0</wp14:pctWidth>
            </wp14:sizeRelH>
            <wp14:sizeRelV relativeFrom="page">
              <wp14:pctHeight>0</wp14:pctHeight>
            </wp14:sizeRelV>
          </wp:anchor>
        </w:drawing>
      </w:r>
    </w:p>
    <w:p w:rsidR="008A22C6" w:rsidRPr="00A34150" w:rsidRDefault="00773939" w:rsidP="000310A2">
      <w:pPr>
        <w:spacing w:line="360" w:lineRule="auto"/>
        <w:ind w:left="2126" w:hanging="2126"/>
        <w:jc w:val="both"/>
        <w:rPr>
          <w:b/>
          <w:sz w:val="22"/>
          <w:szCs w:val="22"/>
        </w:rPr>
      </w:pPr>
      <w:r>
        <w:rPr>
          <w:b/>
          <w:sz w:val="22"/>
          <w:szCs w:val="22"/>
        </w:rPr>
        <w:t>To:</w:t>
      </w:r>
      <w:r>
        <w:rPr>
          <w:b/>
          <w:sz w:val="22"/>
          <w:szCs w:val="22"/>
        </w:rPr>
        <w:tab/>
      </w:r>
      <w:r>
        <w:rPr>
          <w:b/>
          <w:sz w:val="22"/>
          <w:szCs w:val="22"/>
        </w:rPr>
        <w:tab/>
      </w:r>
      <w:r w:rsidR="00B16ECA">
        <w:rPr>
          <w:b/>
          <w:bCs/>
        </w:rPr>
        <w:t>General Purposes Licensing Casework</w:t>
      </w:r>
      <w:r w:rsidR="00974BBC">
        <w:rPr>
          <w:b/>
          <w:bCs/>
        </w:rPr>
        <w:t xml:space="preserve"> Sub-</w:t>
      </w:r>
      <w:r w:rsidR="00B16ECA" w:rsidRPr="00745B8B">
        <w:rPr>
          <w:b/>
          <w:bCs/>
        </w:rPr>
        <w:t>Committee</w:t>
      </w:r>
    </w:p>
    <w:p w:rsidR="00AB4CB7" w:rsidRPr="00A34150" w:rsidRDefault="00AB4CB7" w:rsidP="006C6728">
      <w:pPr>
        <w:jc w:val="both"/>
        <w:rPr>
          <w:b/>
          <w:sz w:val="22"/>
          <w:szCs w:val="22"/>
        </w:rPr>
      </w:pPr>
    </w:p>
    <w:p w:rsidR="00AB4CB7" w:rsidRPr="00AF6FCF" w:rsidRDefault="00DC142F" w:rsidP="006C6728">
      <w:pPr>
        <w:jc w:val="both"/>
        <w:rPr>
          <w:b/>
        </w:rPr>
      </w:pPr>
      <w:r>
        <w:rPr>
          <w:b/>
        </w:rPr>
        <w:t>Date:</w:t>
      </w:r>
      <w:r>
        <w:rPr>
          <w:b/>
        </w:rPr>
        <w:tab/>
      </w:r>
      <w:r>
        <w:rPr>
          <w:b/>
        </w:rPr>
        <w:tab/>
      </w:r>
      <w:r>
        <w:rPr>
          <w:b/>
        </w:rPr>
        <w:tab/>
        <w:t>16</w:t>
      </w:r>
      <w:r>
        <w:rPr>
          <w:b/>
          <w:vertAlign w:val="superscript"/>
        </w:rPr>
        <w:t>th</w:t>
      </w:r>
      <w:r w:rsidR="00EE0A7B">
        <w:rPr>
          <w:b/>
        </w:rPr>
        <w:t xml:space="preserve"> </w:t>
      </w:r>
      <w:r>
        <w:rPr>
          <w:b/>
        </w:rPr>
        <w:t>March</w:t>
      </w:r>
      <w:r w:rsidR="006C40BB">
        <w:rPr>
          <w:b/>
        </w:rPr>
        <w:t xml:space="preserve"> 2020</w:t>
      </w:r>
    </w:p>
    <w:p w:rsidR="00AB4CB7" w:rsidRPr="00A34150" w:rsidRDefault="00AB4CB7" w:rsidP="006C6728">
      <w:pPr>
        <w:jc w:val="both"/>
        <w:rPr>
          <w:b/>
          <w:sz w:val="22"/>
          <w:szCs w:val="22"/>
        </w:rPr>
      </w:pPr>
    </w:p>
    <w:p w:rsidR="00AB4CB7" w:rsidRPr="00A34150" w:rsidRDefault="00B16ECA" w:rsidP="000310A2">
      <w:pPr>
        <w:spacing w:line="360" w:lineRule="auto"/>
        <w:ind w:left="2160" w:hanging="2160"/>
        <w:jc w:val="both"/>
        <w:rPr>
          <w:b/>
          <w:sz w:val="22"/>
          <w:szCs w:val="22"/>
        </w:rPr>
      </w:pPr>
      <w:r>
        <w:rPr>
          <w:b/>
          <w:sz w:val="22"/>
          <w:szCs w:val="22"/>
        </w:rPr>
        <w:t>Report of:</w:t>
      </w:r>
      <w:r>
        <w:rPr>
          <w:b/>
          <w:sz w:val="22"/>
          <w:szCs w:val="22"/>
        </w:rPr>
        <w:tab/>
      </w:r>
      <w:r w:rsidRPr="00745B8B">
        <w:rPr>
          <w:b/>
          <w:bCs/>
        </w:rPr>
        <w:t xml:space="preserve">Head of </w:t>
      </w:r>
      <w:r>
        <w:rPr>
          <w:b/>
          <w:bCs/>
        </w:rPr>
        <w:t>Regulatory Services</w:t>
      </w:r>
      <w:r w:rsidR="00EE0A7B">
        <w:rPr>
          <w:b/>
          <w:bCs/>
        </w:rPr>
        <w:t xml:space="preserve"> and Community Safety</w:t>
      </w:r>
    </w:p>
    <w:p w:rsidR="00AB4CB7" w:rsidRPr="00A34150" w:rsidRDefault="00AB4CB7" w:rsidP="006C6728">
      <w:pPr>
        <w:jc w:val="both"/>
        <w:rPr>
          <w:b/>
          <w:sz w:val="22"/>
          <w:szCs w:val="22"/>
        </w:rPr>
      </w:pPr>
    </w:p>
    <w:p w:rsidR="00AB4CB7" w:rsidRPr="00A34150" w:rsidRDefault="00AB4CB7" w:rsidP="000310A2">
      <w:pPr>
        <w:spacing w:line="360" w:lineRule="auto"/>
        <w:jc w:val="both"/>
        <w:rPr>
          <w:b/>
          <w:sz w:val="22"/>
          <w:szCs w:val="22"/>
        </w:rPr>
      </w:pPr>
      <w:r w:rsidRPr="00A34150">
        <w:rPr>
          <w:b/>
          <w:sz w:val="22"/>
          <w:szCs w:val="22"/>
        </w:rPr>
        <w:t>Title of Report:</w:t>
      </w:r>
      <w:r w:rsidRPr="00A34150">
        <w:rPr>
          <w:b/>
          <w:sz w:val="22"/>
          <w:szCs w:val="22"/>
        </w:rPr>
        <w:tab/>
      </w:r>
      <w:r w:rsidR="00DC142F">
        <w:rPr>
          <w:b/>
          <w:bCs/>
        </w:rPr>
        <w:t>Applications for Vacant Approved Street Trading Sites</w:t>
      </w:r>
    </w:p>
    <w:p w:rsidR="00AB4CB7" w:rsidRPr="00A34150" w:rsidRDefault="00AB4CB7" w:rsidP="006C6728">
      <w:pPr>
        <w:jc w:val="both"/>
        <w:rPr>
          <w:b/>
          <w:sz w:val="22"/>
          <w:szCs w:val="22"/>
        </w:rPr>
      </w:pPr>
    </w:p>
    <w:p w:rsidR="00A34150" w:rsidRPr="00A34150" w:rsidRDefault="00A34150" w:rsidP="006C6728">
      <w:pPr>
        <w:pBdr>
          <w:top w:val="single" w:sz="4" w:space="1" w:color="auto"/>
          <w:left w:val="single" w:sz="4" w:space="4" w:color="auto"/>
          <w:bottom w:val="single" w:sz="4" w:space="1" w:color="auto"/>
          <w:right w:val="single" w:sz="4" w:space="4" w:color="auto"/>
        </w:pBdr>
        <w:jc w:val="both"/>
        <w:rPr>
          <w:b/>
          <w:sz w:val="22"/>
          <w:szCs w:val="22"/>
        </w:rPr>
      </w:pPr>
    </w:p>
    <w:p w:rsidR="00AB4CB7" w:rsidRPr="00A34150" w:rsidRDefault="00A34150" w:rsidP="006C6728">
      <w:pPr>
        <w:pBdr>
          <w:top w:val="single" w:sz="4" w:space="1" w:color="auto"/>
          <w:left w:val="single" w:sz="4" w:space="4" w:color="auto"/>
          <w:bottom w:val="single" w:sz="4" w:space="1" w:color="auto"/>
          <w:right w:val="single" w:sz="4" w:space="4" w:color="auto"/>
        </w:pBdr>
        <w:jc w:val="both"/>
        <w:rPr>
          <w:b/>
          <w:sz w:val="22"/>
          <w:szCs w:val="22"/>
        </w:rPr>
      </w:pPr>
      <w:r w:rsidRPr="00A34150">
        <w:rPr>
          <w:b/>
          <w:sz w:val="22"/>
          <w:szCs w:val="22"/>
        </w:rPr>
        <w:t>Summary and Recommendations</w:t>
      </w:r>
    </w:p>
    <w:p w:rsidR="00A34150" w:rsidRPr="00A34150" w:rsidRDefault="00A34150" w:rsidP="006C6728">
      <w:pPr>
        <w:pBdr>
          <w:top w:val="single" w:sz="4" w:space="1" w:color="auto"/>
          <w:left w:val="single" w:sz="4" w:space="4" w:color="auto"/>
          <w:bottom w:val="single" w:sz="4" w:space="1" w:color="auto"/>
          <w:right w:val="single" w:sz="4" w:space="4" w:color="auto"/>
        </w:pBdr>
        <w:jc w:val="both"/>
        <w:rPr>
          <w:b/>
          <w:sz w:val="22"/>
          <w:szCs w:val="22"/>
        </w:rPr>
      </w:pP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sidRPr="00A34150">
        <w:rPr>
          <w:b/>
          <w:sz w:val="22"/>
          <w:szCs w:val="22"/>
        </w:rPr>
        <w:t>Purpose of the report:</w:t>
      </w:r>
      <w:r w:rsidRPr="00A34150">
        <w:rPr>
          <w:b/>
          <w:sz w:val="22"/>
          <w:szCs w:val="22"/>
        </w:rPr>
        <w:tab/>
      </w:r>
      <w:r w:rsidR="00DC142F" w:rsidRPr="00DC142F">
        <w:rPr>
          <w:sz w:val="22"/>
          <w:szCs w:val="22"/>
        </w:rPr>
        <w:t>To seek determination of application</w:t>
      </w:r>
      <w:r w:rsidR="005A7DDD">
        <w:rPr>
          <w:sz w:val="22"/>
          <w:szCs w:val="22"/>
        </w:rPr>
        <w:t xml:space="preserve">s received in competition for </w:t>
      </w:r>
      <w:r w:rsidR="00DC142F" w:rsidRPr="00DC142F">
        <w:rPr>
          <w:sz w:val="22"/>
          <w:szCs w:val="22"/>
        </w:rPr>
        <w:t>Street Trading Conse</w:t>
      </w:r>
      <w:r w:rsidR="005A7DDD">
        <w:rPr>
          <w:sz w:val="22"/>
          <w:szCs w:val="22"/>
        </w:rPr>
        <w:t>nt to fill two vacant approved street t</w:t>
      </w:r>
      <w:r w:rsidR="00DC142F" w:rsidRPr="00DC142F">
        <w:rPr>
          <w:sz w:val="22"/>
          <w:szCs w:val="22"/>
        </w:rPr>
        <w:t>rading sites.</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b/>
          <w:sz w:val="22"/>
          <w:szCs w:val="22"/>
        </w:rPr>
      </w:pPr>
      <w:r>
        <w:rPr>
          <w:b/>
          <w:sz w:val="22"/>
          <w:szCs w:val="22"/>
        </w:rPr>
        <w:t>Report Approved by:</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Finance:</w:t>
      </w:r>
      <w:r>
        <w:rPr>
          <w:b/>
          <w:sz w:val="22"/>
          <w:szCs w:val="22"/>
        </w:rPr>
        <w:tab/>
      </w:r>
      <w:r w:rsidR="00EE0A7B" w:rsidRPr="0031320B">
        <w:rPr>
          <w:bCs/>
          <w:sz w:val="22"/>
          <w:szCs w:val="22"/>
        </w:rPr>
        <w:t>Barbara Smolonska</w:t>
      </w:r>
      <w:r w:rsidR="006C40BB">
        <w:rPr>
          <w:bCs/>
          <w:sz w:val="22"/>
          <w:szCs w:val="22"/>
        </w:rPr>
        <w:t xml:space="preserve"> </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Legal:</w:t>
      </w:r>
      <w:r>
        <w:rPr>
          <w:b/>
          <w:sz w:val="22"/>
          <w:szCs w:val="22"/>
        </w:rPr>
        <w:tab/>
      </w:r>
      <w:r>
        <w:rPr>
          <w:sz w:val="22"/>
          <w:szCs w:val="22"/>
        </w:rPr>
        <w:t>Daniel Smith</w:t>
      </w:r>
      <w:r w:rsidR="00CF59D6">
        <w:rPr>
          <w:sz w:val="22"/>
          <w:szCs w:val="22"/>
        </w:rPr>
        <w:t xml:space="preserve"> </w:t>
      </w:r>
      <w:bookmarkStart w:id="0" w:name="_GoBack"/>
      <w:bookmarkEnd w:id="0"/>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Policy Framework:</w:t>
      </w:r>
      <w:r>
        <w:rPr>
          <w:b/>
          <w:sz w:val="22"/>
          <w:szCs w:val="22"/>
        </w:rPr>
        <w:tab/>
      </w:r>
      <w:r>
        <w:rPr>
          <w:sz w:val="22"/>
          <w:szCs w:val="22"/>
        </w:rPr>
        <w:t>Street Trading Policy</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ab/>
      </w:r>
      <w:r>
        <w:rPr>
          <w:sz w:val="22"/>
          <w:szCs w:val="22"/>
        </w:rPr>
        <w:t>A vibrant and sustainable economy</w:t>
      </w:r>
    </w:p>
    <w:p w:rsidR="00A34150" w:rsidRDefault="00A34150" w:rsidP="006C6728">
      <w:pPr>
        <w:pBdr>
          <w:top w:val="single" w:sz="4" w:space="1" w:color="auto"/>
          <w:left w:val="single" w:sz="4" w:space="4" w:color="auto"/>
          <w:bottom w:val="single" w:sz="4" w:space="1" w:color="auto"/>
          <w:right w:val="single" w:sz="4" w:space="4" w:color="auto"/>
        </w:pBdr>
        <w:ind w:left="2880" w:hanging="2880"/>
        <w:jc w:val="both"/>
        <w:rPr>
          <w:sz w:val="22"/>
          <w:szCs w:val="22"/>
        </w:rPr>
      </w:pPr>
    </w:p>
    <w:p w:rsidR="00DC142F" w:rsidRPr="00DC142F" w:rsidRDefault="00A34150" w:rsidP="00DC142F">
      <w:pPr>
        <w:pBdr>
          <w:top w:val="single" w:sz="4" w:space="1" w:color="auto"/>
          <w:left w:val="single" w:sz="4" w:space="4" w:color="auto"/>
          <w:bottom w:val="single" w:sz="4" w:space="1" w:color="auto"/>
          <w:right w:val="single" w:sz="4" w:space="4" w:color="auto"/>
        </w:pBdr>
        <w:tabs>
          <w:tab w:val="left" w:pos="3048"/>
        </w:tabs>
        <w:ind w:left="2880" w:hanging="2880"/>
        <w:rPr>
          <w:color w:val="000000"/>
          <w:sz w:val="22"/>
          <w:szCs w:val="22"/>
        </w:rPr>
      </w:pPr>
      <w:r>
        <w:rPr>
          <w:b/>
          <w:sz w:val="22"/>
          <w:szCs w:val="22"/>
        </w:rPr>
        <w:t>Recommendation(s):</w:t>
      </w:r>
      <w:r>
        <w:rPr>
          <w:b/>
          <w:sz w:val="22"/>
          <w:szCs w:val="22"/>
        </w:rPr>
        <w:tab/>
      </w:r>
      <w:r w:rsidR="000F56E2">
        <w:rPr>
          <w:sz w:val="22"/>
          <w:szCs w:val="22"/>
        </w:rPr>
        <w:t>Sub-</w:t>
      </w:r>
      <w:r w:rsidR="006E33A7">
        <w:rPr>
          <w:sz w:val="22"/>
          <w:szCs w:val="22"/>
        </w:rPr>
        <w:t>Committee is reque</w:t>
      </w:r>
      <w:r w:rsidR="00DC142F">
        <w:rPr>
          <w:sz w:val="22"/>
          <w:szCs w:val="22"/>
        </w:rPr>
        <w:t xml:space="preserve">sted to determine </w:t>
      </w:r>
      <w:r w:rsidR="00DC142F" w:rsidRPr="00DC142F">
        <w:rPr>
          <w:color w:val="000000"/>
          <w:sz w:val="22"/>
          <w:szCs w:val="22"/>
        </w:rPr>
        <w:t xml:space="preserve">from the applications received, </w:t>
      </w:r>
      <w:r w:rsidR="00CD49D2">
        <w:rPr>
          <w:color w:val="000000"/>
          <w:sz w:val="22"/>
          <w:szCs w:val="22"/>
        </w:rPr>
        <w:t xml:space="preserve">to </w:t>
      </w:r>
      <w:r w:rsidR="00DC142F" w:rsidRPr="00DC142F">
        <w:rPr>
          <w:color w:val="000000"/>
          <w:sz w:val="22"/>
          <w:szCs w:val="22"/>
        </w:rPr>
        <w:t>which applicants they wish to grant Street Trading Consent, in order to fill the following vacant approved sites taking into account the details in this report and any representations made at this Sub Committee meeting:</w:t>
      </w:r>
    </w:p>
    <w:p w:rsidR="00DC142F" w:rsidRDefault="00DC142F" w:rsidP="00DC142F">
      <w:pPr>
        <w:pBdr>
          <w:top w:val="single" w:sz="4" w:space="1" w:color="auto"/>
          <w:left w:val="single" w:sz="4" w:space="4" w:color="auto"/>
          <w:bottom w:val="single" w:sz="4" w:space="1" w:color="auto"/>
          <w:right w:val="single" w:sz="4" w:space="4" w:color="auto"/>
        </w:pBdr>
        <w:tabs>
          <w:tab w:val="left" w:pos="3048"/>
        </w:tabs>
        <w:rPr>
          <w:b/>
          <w:color w:val="000000"/>
        </w:rPr>
      </w:pPr>
    </w:p>
    <w:p w:rsidR="00DC142F" w:rsidRPr="00DC142F" w:rsidRDefault="00DC142F" w:rsidP="00DC142F">
      <w:pPr>
        <w:pBdr>
          <w:top w:val="single" w:sz="4" w:space="1" w:color="auto"/>
          <w:left w:val="single" w:sz="4" w:space="4" w:color="auto"/>
          <w:bottom w:val="single" w:sz="4" w:space="1" w:color="auto"/>
          <w:right w:val="single" w:sz="4" w:space="4" w:color="auto"/>
        </w:pBdr>
        <w:tabs>
          <w:tab w:val="left" w:pos="3048"/>
        </w:tabs>
        <w:ind w:left="567" w:hanging="567"/>
        <w:rPr>
          <w:sz w:val="22"/>
          <w:szCs w:val="22"/>
        </w:rPr>
      </w:pPr>
      <w:r>
        <w:rPr>
          <w:color w:val="000000"/>
          <w:sz w:val="22"/>
          <w:szCs w:val="22"/>
        </w:rPr>
        <w:tab/>
      </w:r>
      <w:r w:rsidRPr="00DC142F">
        <w:rPr>
          <w:color w:val="000000"/>
          <w:sz w:val="22"/>
          <w:szCs w:val="22"/>
        </w:rPr>
        <w:sym w:font="Symbol" w:char="F0B7"/>
      </w:r>
      <w:r>
        <w:rPr>
          <w:color w:val="000000"/>
          <w:sz w:val="22"/>
          <w:szCs w:val="22"/>
        </w:rPr>
        <w:t xml:space="preserve"> </w:t>
      </w:r>
      <w:r w:rsidRPr="00DC142F">
        <w:rPr>
          <w:color w:val="000000"/>
          <w:sz w:val="22"/>
          <w:szCs w:val="22"/>
        </w:rPr>
        <w:t xml:space="preserve">Street Trading Site </w:t>
      </w:r>
      <w:r w:rsidR="005A7DDD">
        <w:rPr>
          <w:color w:val="000000"/>
          <w:sz w:val="22"/>
          <w:szCs w:val="22"/>
        </w:rPr>
        <w:t xml:space="preserve">14 outside Christ Church </w:t>
      </w:r>
      <w:r>
        <w:rPr>
          <w:sz w:val="22"/>
          <w:szCs w:val="22"/>
        </w:rPr>
        <w:t xml:space="preserve">St Aldates </w:t>
      </w:r>
    </w:p>
    <w:p w:rsidR="00DC142F" w:rsidRPr="00DC142F" w:rsidRDefault="00DC142F" w:rsidP="00DC142F">
      <w:pPr>
        <w:pBdr>
          <w:top w:val="single" w:sz="4" w:space="1" w:color="auto"/>
          <w:left w:val="single" w:sz="4" w:space="4" w:color="auto"/>
          <w:bottom w:val="single" w:sz="4" w:space="1" w:color="auto"/>
          <w:right w:val="single" w:sz="4" w:space="4" w:color="auto"/>
        </w:pBdr>
        <w:tabs>
          <w:tab w:val="left" w:pos="3048"/>
        </w:tabs>
        <w:ind w:left="567" w:hanging="567"/>
        <w:rPr>
          <w:sz w:val="22"/>
          <w:szCs w:val="22"/>
        </w:rPr>
      </w:pPr>
    </w:p>
    <w:p w:rsidR="00DC142F" w:rsidRPr="00DC142F" w:rsidRDefault="00DC142F" w:rsidP="00DC142F">
      <w:pPr>
        <w:pBdr>
          <w:top w:val="single" w:sz="4" w:space="1" w:color="auto"/>
          <w:left w:val="single" w:sz="4" w:space="4" w:color="auto"/>
          <w:bottom w:val="single" w:sz="4" w:space="1" w:color="auto"/>
          <w:right w:val="single" w:sz="4" w:space="4" w:color="auto"/>
        </w:pBdr>
        <w:tabs>
          <w:tab w:val="left" w:pos="3048"/>
        </w:tabs>
        <w:ind w:left="567" w:hanging="567"/>
        <w:rPr>
          <w:color w:val="000000"/>
          <w:sz w:val="22"/>
          <w:szCs w:val="22"/>
        </w:rPr>
      </w:pPr>
      <w:r>
        <w:rPr>
          <w:color w:val="000000"/>
          <w:sz w:val="22"/>
          <w:szCs w:val="22"/>
        </w:rPr>
        <w:tab/>
      </w:r>
      <w:r w:rsidRPr="00DC142F">
        <w:rPr>
          <w:color w:val="000000"/>
          <w:sz w:val="22"/>
          <w:szCs w:val="22"/>
        </w:rPr>
        <w:sym w:font="Symbol" w:char="F0B7"/>
      </w:r>
      <w:r>
        <w:rPr>
          <w:sz w:val="22"/>
          <w:szCs w:val="22"/>
        </w:rPr>
        <w:t xml:space="preserve"> </w:t>
      </w:r>
      <w:r w:rsidRPr="00DC142F">
        <w:rPr>
          <w:sz w:val="22"/>
          <w:szCs w:val="22"/>
        </w:rPr>
        <w:t>Street Trading Site 10 outside 22 High Street (North Side)</w:t>
      </w:r>
    </w:p>
    <w:p w:rsidR="00070EA0" w:rsidRDefault="00070EA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070EA0" w:rsidRDefault="00070EA0" w:rsidP="006C6728">
      <w:pPr>
        <w:spacing w:line="360" w:lineRule="auto"/>
        <w:jc w:val="both"/>
        <w:rPr>
          <w:sz w:val="22"/>
          <w:szCs w:val="22"/>
        </w:rPr>
      </w:pPr>
    </w:p>
    <w:p w:rsidR="00C26BFA" w:rsidRDefault="00C26BFA" w:rsidP="006C6728">
      <w:pPr>
        <w:spacing w:line="360" w:lineRule="auto"/>
        <w:jc w:val="both"/>
        <w:rPr>
          <w:b/>
          <w:sz w:val="22"/>
          <w:szCs w:val="22"/>
        </w:rPr>
      </w:pPr>
      <w:r>
        <w:rPr>
          <w:b/>
          <w:sz w:val="22"/>
          <w:szCs w:val="22"/>
        </w:rPr>
        <w:t>Appendices</w:t>
      </w:r>
    </w:p>
    <w:p w:rsidR="00C26BFA" w:rsidRDefault="00C26BFA" w:rsidP="006C6728">
      <w:pPr>
        <w:spacing w:line="360" w:lineRule="auto"/>
        <w:jc w:val="both"/>
        <w:rPr>
          <w:sz w:val="22"/>
          <w:szCs w:val="22"/>
        </w:rPr>
      </w:pPr>
    </w:p>
    <w:p w:rsidR="0067798C" w:rsidRPr="00DC142F" w:rsidRDefault="000E62FB" w:rsidP="006C6728">
      <w:pPr>
        <w:spacing w:line="360" w:lineRule="auto"/>
        <w:jc w:val="both"/>
        <w:rPr>
          <w:bCs/>
          <w:sz w:val="22"/>
          <w:szCs w:val="22"/>
        </w:rPr>
      </w:pPr>
      <w:r w:rsidRPr="00DC142F">
        <w:rPr>
          <w:sz w:val="22"/>
          <w:szCs w:val="22"/>
        </w:rPr>
        <w:t>Appendix A</w:t>
      </w:r>
      <w:r w:rsidR="00C26BFA" w:rsidRPr="00DC142F">
        <w:rPr>
          <w:sz w:val="22"/>
          <w:szCs w:val="22"/>
        </w:rPr>
        <w:t xml:space="preserve"> –</w:t>
      </w:r>
      <w:r w:rsidR="00CF6ED5" w:rsidRPr="00DC142F">
        <w:rPr>
          <w:sz w:val="22"/>
          <w:szCs w:val="22"/>
        </w:rPr>
        <w:t xml:space="preserve"> </w:t>
      </w:r>
      <w:r w:rsidR="00DC142F" w:rsidRPr="00DC142F">
        <w:rPr>
          <w:bCs/>
          <w:sz w:val="22"/>
          <w:szCs w:val="22"/>
        </w:rPr>
        <w:t>Applications for the vacant sites</w:t>
      </w:r>
    </w:p>
    <w:p w:rsidR="00DC142F" w:rsidRPr="00DC142F" w:rsidRDefault="00DC142F" w:rsidP="006C6728">
      <w:pPr>
        <w:spacing w:line="360" w:lineRule="auto"/>
        <w:jc w:val="both"/>
        <w:rPr>
          <w:bCs/>
          <w:sz w:val="22"/>
          <w:szCs w:val="22"/>
        </w:rPr>
      </w:pPr>
      <w:r w:rsidRPr="00DC142F">
        <w:rPr>
          <w:bCs/>
          <w:sz w:val="22"/>
          <w:szCs w:val="22"/>
        </w:rPr>
        <w:t>Appendix B - List of applicants and site(s) applied for</w:t>
      </w:r>
    </w:p>
    <w:p w:rsidR="00DC142F" w:rsidRPr="00DC142F" w:rsidRDefault="00DC142F" w:rsidP="006C6728">
      <w:pPr>
        <w:spacing w:line="360" w:lineRule="auto"/>
        <w:jc w:val="both"/>
        <w:rPr>
          <w:bCs/>
          <w:sz w:val="22"/>
          <w:szCs w:val="22"/>
        </w:rPr>
      </w:pPr>
      <w:r w:rsidRPr="00DC142F">
        <w:rPr>
          <w:bCs/>
          <w:sz w:val="22"/>
          <w:szCs w:val="22"/>
        </w:rPr>
        <w:t>Appendix C - Advert for Vacant Sites</w:t>
      </w:r>
    </w:p>
    <w:p w:rsidR="00DC142F" w:rsidRPr="00DC142F" w:rsidRDefault="00DC142F" w:rsidP="006C6728">
      <w:pPr>
        <w:spacing w:line="360" w:lineRule="auto"/>
        <w:jc w:val="both"/>
        <w:rPr>
          <w:sz w:val="22"/>
          <w:szCs w:val="22"/>
        </w:rPr>
      </w:pPr>
      <w:r w:rsidRPr="00DC142F">
        <w:rPr>
          <w:bCs/>
          <w:sz w:val="22"/>
          <w:szCs w:val="22"/>
        </w:rPr>
        <w:t>Appendix D - General Conditions of Street Trading Consent</w:t>
      </w:r>
    </w:p>
    <w:p w:rsidR="007F6D90" w:rsidRPr="00C074B3" w:rsidRDefault="007F6D90" w:rsidP="006C6728">
      <w:pPr>
        <w:spacing w:line="360" w:lineRule="auto"/>
        <w:jc w:val="both"/>
        <w:rPr>
          <w:sz w:val="22"/>
          <w:szCs w:val="22"/>
        </w:rPr>
      </w:pPr>
    </w:p>
    <w:p w:rsidR="00DE7899" w:rsidRDefault="00DE7899" w:rsidP="006C6728">
      <w:pPr>
        <w:pStyle w:val="ListParagraph"/>
        <w:spacing w:line="360" w:lineRule="auto"/>
        <w:ind w:left="0"/>
        <w:jc w:val="both"/>
        <w:rPr>
          <w:b/>
          <w:sz w:val="22"/>
          <w:szCs w:val="22"/>
        </w:rPr>
      </w:pPr>
    </w:p>
    <w:p w:rsidR="007F6D90" w:rsidRDefault="007F6D90" w:rsidP="006C6728">
      <w:pPr>
        <w:pStyle w:val="ListParagraph"/>
        <w:spacing w:line="360" w:lineRule="auto"/>
        <w:ind w:left="0"/>
        <w:jc w:val="both"/>
        <w:rPr>
          <w:b/>
          <w:sz w:val="22"/>
          <w:szCs w:val="22"/>
        </w:rPr>
      </w:pPr>
      <w:r>
        <w:rPr>
          <w:b/>
          <w:sz w:val="22"/>
          <w:szCs w:val="22"/>
        </w:rPr>
        <w:lastRenderedPageBreak/>
        <w:t>Legislative Background/Legal Framework</w:t>
      </w:r>
    </w:p>
    <w:p w:rsidR="00256A82" w:rsidRPr="007F6D90" w:rsidRDefault="00256A82" w:rsidP="006C6728">
      <w:pPr>
        <w:pStyle w:val="ListParagraph"/>
        <w:spacing w:line="360" w:lineRule="auto"/>
        <w:ind w:left="426"/>
        <w:jc w:val="both"/>
        <w:rPr>
          <w:b/>
          <w:sz w:val="22"/>
          <w:szCs w:val="22"/>
        </w:rPr>
      </w:pPr>
    </w:p>
    <w:p w:rsidR="007F6D90" w:rsidRDefault="00256A82" w:rsidP="006C6728">
      <w:pPr>
        <w:pStyle w:val="ListParagraph"/>
        <w:numPr>
          <w:ilvl w:val="0"/>
          <w:numId w:val="3"/>
        </w:numPr>
        <w:spacing w:line="360" w:lineRule="auto"/>
        <w:jc w:val="both"/>
        <w:rPr>
          <w:sz w:val="22"/>
          <w:szCs w:val="22"/>
        </w:rPr>
      </w:pPr>
      <w:r>
        <w:rPr>
          <w:sz w:val="22"/>
          <w:szCs w:val="22"/>
        </w:rPr>
        <w:t xml:space="preserve">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w:t>
      </w:r>
      <w:r w:rsidR="00FE30BC">
        <w:rPr>
          <w:sz w:val="22"/>
          <w:szCs w:val="22"/>
        </w:rPr>
        <w:t>the Sub Committee should only take into account relevant considerations; must give each applicant or consent holder a fair hearing and should give reasons for their decisions.</w:t>
      </w:r>
    </w:p>
    <w:p w:rsidR="00FE30BC" w:rsidRDefault="00FE30BC" w:rsidP="006C6728">
      <w:pPr>
        <w:pStyle w:val="ListParagraph"/>
        <w:spacing w:line="360" w:lineRule="auto"/>
        <w:jc w:val="both"/>
        <w:rPr>
          <w:sz w:val="22"/>
          <w:szCs w:val="22"/>
        </w:rPr>
      </w:pPr>
    </w:p>
    <w:p w:rsidR="00FE30BC" w:rsidRPr="00926B61" w:rsidRDefault="00FE30BC" w:rsidP="00DE7899">
      <w:pPr>
        <w:pStyle w:val="ListParagraph"/>
        <w:numPr>
          <w:ilvl w:val="0"/>
          <w:numId w:val="3"/>
        </w:numPr>
        <w:spacing w:line="360" w:lineRule="auto"/>
        <w:jc w:val="both"/>
        <w:rPr>
          <w:sz w:val="22"/>
          <w:szCs w:val="22"/>
        </w:rPr>
      </w:pPr>
      <w:r>
        <w:rPr>
          <w:sz w:val="22"/>
          <w:szCs w:val="22"/>
        </w:rPr>
        <w:t>Street trading consent is granted subject to the Council’s standard conditions. The Sub Committee may amend or attach any additional conditions to a Consent that it considers “reasonably necessary”.</w:t>
      </w:r>
    </w:p>
    <w:p w:rsidR="00DB5826" w:rsidRPr="00F5276C" w:rsidRDefault="00DB5826" w:rsidP="00DC142F">
      <w:pPr>
        <w:pStyle w:val="ListParagraph"/>
        <w:spacing w:line="360" w:lineRule="auto"/>
        <w:jc w:val="both"/>
        <w:rPr>
          <w:sz w:val="22"/>
          <w:szCs w:val="22"/>
        </w:rPr>
      </w:pPr>
    </w:p>
    <w:p w:rsidR="00225155" w:rsidRPr="00F5276C" w:rsidRDefault="00AA16CF" w:rsidP="006C6728">
      <w:pPr>
        <w:pStyle w:val="ListParagraph"/>
        <w:tabs>
          <w:tab w:val="left" w:pos="142"/>
        </w:tabs>
        <w:spacing w:line="360" w:lineRule="auto"/>
        <w:ind w:left="0"/>
        <w:jc w:val="both"/>
        <w:rPr>
          <w:b/>
          <w:sz w:val="22"/>
          <w:szCs w:val="22"/>
        </w:rPr>
      </w:pPr>
      <w:r w:rsidRPr="00F5276C">
        <w:rPr>
          <w:b/>
          <w:sz w:val="22"/>
          <w:szCs w:val="22"/>
        </w:rPr>
        <w:t>Reasons for Referral to Licensing &amp; Registration Sub Committee</w:t>
      </w:r>
    </w:p>
    <w:p w:rsidR="005C0306" w:rsidRPr="00DE7899" w:rsidRDefault="005C0306" w:rsidP="00DE7899">
      <w:pPr>
        <w:spacing w:line="360" w:lineRule="auto"/>
        <w:jc w:val="both"/>
        <w:rPr>
          <w:sz w:val="22"/>
          <w:szCs w:val="22"/>
        </w:rPr>
      </w:pPr>
    </w:p>
    <w:p w:rsidR="00DE7899" w:rsidRDefault="00DE7899" w:rsidP="00926B61">
      <w:pPr>
        <w:pStyle w:val="Default"/>
        <w:numPr>
          <w:ilvl w:val="0"/>
          <w:numId w:val="3"/>
        </w:numPr>
        <w:spacing w:line="360" w:lineRule="auto"/>
        <w:rPr>
          <w:rFonts w:ascii="Arial" w:hAnsi="Arial" w:cs="Arial"/>
          <w:sz w:val="22"/>
          <w:szCs w:val="22"/>
        </w:rPr>
      </w:pPr>
      <w:r w:rsidRPr="00DE7899">
        <w:rPr>
          <w:rFonts w:ascii="Arial" w:hAnsi="Arial" w:cs="Arial"/>
          <w:sz w:val="22"/>
          <w:szCs w:val="22"/>
        </w:rPr>
        <w:t>This matter has been referred to Licensing &amp; Registration Sub Committee to determine the applications in accordance with paragraph 5.18 of Oxford City Council’s Street Trading Policy as</w:t>
      </w:r>
      <w:r w:rsidR="00AF61DD">
        <w:rPr>
          <w:rFonts w:ascii="Arial" w:hAnsi="Arial" w:cs="Arial"/>
          <w:sz w:val="22"/>
          <w:szCs w:val="22"/>
        </w:rPr>
        <w:t xml:space="preserve"> five</w:t>
      </w:r>
      <w:r w:rsidRPr="00DE7899">
        <w:rPr>
          <w:rFonts w:ascii="Arial" w:hAnsi="Arial" w:cs="Arial"/>
          <w:sz w:val="22"/>
          <w:szCs w:val="22"/>
        </w:rPr>
        <w:t xml:space="preserve"> applications have been received for the vacant </w:t>
      </w:r>
      <w:r w:rsidR="005A7DDD">
        <w:rPr>
          <w:rFonts w:ascii="Arial" w:hAnsi="Arial" w:cs="Arial"/>
          <w:sz w:val="22"/>
          <w:szCs w:val="22"/>
        </w:rPr>
        <w:t xml:space="preserve">approved street trading </w:t>
      </w:r>
      <w:r w:rsidRPr="00DE7899">
        <w:rPr>
          <w:rFonts w:ascii="Arial" w:hAnsi="Arial" w:cs="Arial"/>
          <w:sz w:val="22"/>
          <w:szCs w:val="22"/>
        </w:rPr>
        <w:t>sites advertised.</w:t>
      </w:r>
    </w:p>
    <w:p w:rsidR="00926B61" w:rsidRDefault="00926B61" w:rsidP="00926B61">
      <w:pPr>
        <w:pStyle w:val="Default"/>
        <w:spacing w:line="360" w:lineRule="auto"/>
        <w:rPr>
          <w:rFonts w:ascii="Arial" w:hAnsi="Arial" w:cs="Arial"/>
          <w:sz w:val="22"/>
          <w:szCs w:val="22"/>
        </w:rPr>
      </w:pPr>
    </w:p>
    <w:p w:rsidR="00926B61" w:rsidRDefault="00926B61" w:rsidP="00926B61">
      <w:pPr>
        <w:spacing w:line="360" w:lineRule="auto"/>
        <w:jc w:val="both"/>
        <w:rPr>
          <w:b/>
          <w:sz w:val="22"/>
          <w:szCs w:val="22"/>
        </w:rPr>
      </w:pPr>
      <w:r>
        <w:rPr>
          <w:b/>
          <w:sz w:val="22"/>
          <w:szCs w:val="22"/>
        </w:rPr>
        <w:t>Policy Considerations</w:t>
      </w:r>
    </w:p>
    <w:p w:rsidR="00926B61" w:rsidRDefault="00926B61" w:rsidP="00926B61">
      <w:pPr>
        <w:spacing w:line="360" w:lineRule="auto"/>
        <w:ind w:left="284"/>
        <w:jc w:val="both"/>
        <w:rPr>
          <w:b/>
          <w:sz w:val="22"/>
          <w:szCs w:val="22"/>
        </w:rPr>
      </w:pPr>
    </w:p>
    <w:p w:rsidR="00926B61" w:rsidRPr="00DE7899" w:rsidRDefault="00926B61" w:rsidP="00926B61">
      <w:pPr>
        <w:pStyle w:val="ListParagraph"/>
        <w:numPr>
          <w:ilvl w:val="0"/>
          <w:numId w:val="3"/>
        </w:numPr>
        <w:spacing w:line="360" w:lineRule="auto"/>
      </w:pPr>
      <w:r w:rsidRPr="00926B61">
        <w:rPr>
          <w:sz w:val="22"/>
          <w:szCs w:val="22"/>
        </w:rPr>
        <w:t>The Street Trading Policy was adopted by Council in April 2015 and came into force on 14 April 2015.  Paragraph 5.2(c) of the Policy states that applications may be referred to the Sub Committee where there is competition for a vacant site.</w:t>
      </w:r>
    </w:p>
    <w:p w:rsidR="00926B61" w:rsidRPr="00DC142F" w:rsidRDefault="00926B61" w:rsidP="00926B61">
      <w:pPr>
        <w:pStyle w:val="ListParagraph"/>
        <w:spacing w:line="360" w:lineRule="auto"/>
        <w:rPr>
          <w:sz w:val="22"/>
          <w:szCs w:val="22"/>
        </w:rPr>
      </w:pPr>
    </w:p>
    <w:p w:rsidR="00926B61" w:rsidRPr="00DE7899" w:rsidRDefault="00926B61" w:rsidP="00926B61">
      <w:pPr>
        <w:pStyle w:val="ListParagraph"/>
        <w:numPr>
          <w:ilvl w:val="0"/>
          <w:numId w:val="3"/>
        </w:numPr>
        <w:spacing w:line="360" w:lineRule="auto"/>
        <w:rPr>
          <w:sz w:val="22"/>
          <w:szCs w:val="22"/>
        </w:rPr>
      </w:pPr>
      <w:r w:rsidRPr="00DC142F">
        <w:rPr>
          <w:sz w:val="22"/>
          <w:szCs w:val="22"/>
        </w:rPr>
        <w:t>Paragraph 5.8 of the Street Trading</w:t>
      </w:r>
      <w:r>
        <w:rPr>
          <w:sz w:val="22"/>
          <w:szCs w:val="22"/>
        </w:rPr>
        <w:t xml:space="preserve"> </w:t>
      </w:r>
      <w:r w:rsidRPr="00DE7899">
        <w:rPr>
          <w:sz w:val="22"/>
          <w:szCs w:val="22"/>
        </w:rPr>
        <w:t xml:space="preserve">Policy states </w:t>
      </w:r>
      <w:r w:rsidRPr="00DE7899">
        <w:rPr>
          <w:sz w:val="22"/>
          <w:szCs w:val="22"/>
          <w:lang w:eastAsia="en-GB"/>
        </w:rPr>
        <w:t>in considering applications for the grant or renewal of a Street Trading Consent the following factors will be considered:</w:t>
      </w:r>
    </w:p>
    <w:p w:rsidR="00926B61" w:rsidRPr="00DC142F" w:rsidRDefault="00926B61" w:rsidP="00926B61">
      <w:pPr>
        <w:autoSpaceDE w:val="0"/>
        <w:autoSpaceDN w:val="0"/>
        <w:adjustRightInd w:val="0"/>
        <w:spacing w:line="360" w:lineRule="auto"/>
        <w:ind w:left="540"/>
        <w:rPr>
          <w:color w:val="272627"/>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(a) Public Safety</w:t>
      </w:r>
    </w:p>
    <w:p w:rsidR="00926B61" w:rsidRPr="00DE7899" w:rsidRDefault="00926B61" w:rsidP="00926B61">
      <w:pPr>
        <w:tabs>
          <w:tab w:val="left" w:pos="567"/>
        </w:tabs>
        <w:autoSpaceDE w:val="0"/>
        <w:autoSpaceDN w:val="0"/>
        <w:adjustRightInd w:val="0"/>
        <w:spacing w:line="360" w:lineRule="auto"/>
        <w:ind w:left="709"/>
        <w:rPr>
          <w:sz w:val="22"/>
          <w:szCs w:val="22"/>
          <w:lang w:eastAsia="en-GB"/>
        </w:rPr>
      </w:pPr>
      <w:r w:rsidRPr="00DE7899">
        <w:rPr>
          <w:sz w:val="22"/>
          <w:szCs w:val="22"/>
          <w:lang w:eastAsia="en-GB"/>
        </w:rPr>
        <w:t>Whether the Street Trading activity represents, or is likely to represent, a</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substantial risk to the public from the point of view of obstruction, fire hazard, unhygienic conditions or danger that may occur when a trader is accessing the site.</w:t>
      </w:r>
    </w:p>
    <w:p w:rsidR="00926B61" w:rsidRPr="00DE7899" w:rsidRDefault="00926B61" w:rsidP="00926B61">
      <w:pPr>
        <w:autoSpaceDE w:val="0"/>
        <w:autoSpaceDN w:val="0"/>
        <w:adjustRightInd w:val="0"/>
        <w:spacing w:line="360" w:lineRule="auto"/>
        <w:ind w:left="709"/>
        <w:rPr>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lastRenderedPageBreak/>
        <w:t>(b) Public Order</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Whether the Street Trading activity represents, or is likely to represent, a substantial risk to public order.</w:t>
      </w:r>
    </w:p>
    <w:p w:rsidR="00926B61" w:rsidRPr="00DE7899" w:rsidRDefault="00926B61" w:rsidP="00926B61">
      <w:pPr>
        <w:autoSpaceDE w:val="0"/>
        <w:autoSpaceDN w:val="0"/>
        <w:adjustRightInd w:val="0"/>
        <w:spacing w:line="360" w:lineRule="auto"/>
        <w:ind w:left="709"/>
        <w:rPr>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(c) The Avoidance of Public Nuisance</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Whether the Street Trading activity represents, or is likely to represent, a</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substantial risk of nuisance to the public from noise or misbehaviour,</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particularly in residential areas.</w:t>
      </w:r>
    </w:p>
    <w:p w:rsidR="00926B61" w:rsidRPr="00DE7899" w:rsidRDefault="00926B61" w:rsidP="00926B61">
      <w:pPr>
        <w:autoSpaceDE w:val="0"/>
        <w:autoSpaceDN w:val="0"/>
        <w:adjustRightInd w:val="0"/>
        <w:spacing w:line="360" w:lineRule="auto"/>
        <w:ind w:left="709"/>
        <w:rPr>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(d) Appearance of the stall or vehicle</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The stall or vehicle must be of smart appearance and meet criteria, including size, laid down in the standard Consent conditions. Photographs or sketches, including dimensions, must be provided with all new applications and requests for approval of changes to or replacement of a stall or vehicle.</w:t>
      </w:r>
    </w:p>
    <w:p w:rsidR="00926B61" w:rsidRPr="00DE7899" w:rsidRDefault="00926B61" w:rsidP="00926B61">
      <w:pPr>
        <w:autoSpaceDE w:val="0"/>
        <w:autoSpaceDN w:val="0"/>
        <w:adjustRightInd w:val="0"/>
        <w:spacing w:line="360" w:lineRule="auto"/>
        <w:ind w:left="709"/>
        <w:rPr>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(e) Needs of the Area</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The demand for the articles for sale, and the geographical location of the</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proposed site.</w:t>
      </w:r>
    </w:p>
    <w:p w:rsidR="00926B61" w:rsidRPr="00DE7899" w:rsidRDefault="00926B61" w:rsidP="00926B61">
      <w:pPr>
        <w:autoSpaceDE w:val="0"/>
        <w:autoSpaceDN w:val="0"/>
        <w:adjustRightInd w:val="0"/>
        <w:spacing w:line="360" w:lineRule="auto"/>
        <w:ind w:left="709"/>
        <w:rPr>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(f) Environmental Credentials</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The impact of the proposed operation on the local environment including</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street surfaces and materials, power supply, carbon footprint, supply chain, packaging, waste minimisation, waste disposal and waste created by customers. Mitigating measures to minimise the environmental impact of the proposed operation.</w:t>
      </w:r>
    </w:p>
    <w:p w:rsidR="00926B61" w:rsidRPr="00DE7899" w:rsidRDefault="00926B61" w:rsidP="00926B61">
      <w:pPr>
        <w:autoSpaceDE w:val="0"/>
        <w:autoSpaceDN w:val="0"/>
        <w:adjustRightInd w:val="0"/>
        <w:spacing w:line="360" w:lineRule="auto"/>
        <w:ind w:left="709"/>
        <w:rPr>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(g) Food Traders</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Applicants to trade in hot or cold food must hold a current Level 2 Food</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Hygiene Certificate accredited by The Chartered Institute of Environmental Health, or The Royal Society of Health, or The Royal Institute of Public Health and Hygiene.</w:t>
      </w:r>
    </w:p>
    <w:p w:rsidR="00926B61" w:rsidRPr="00DE7899" w:rsidRDefault="00926B61" w:rsidP="00926B61">
      <w:pPr>
        <w:autoSpaceDE w:val="0"/>
        <w:autoSpaceDN w:val="0"/>
        <w:adjustRightInd w:val="0"/>
        <w:spacing w:line="360" w:lineRule="auto"/>
        <w:ind w:left="709"/>
        <w:rPr>
          <w:sz w:val="22"/>
          <w:szCs w:val="22"/>
          <w:lang w:eastAsia="en-GB"/>
        </w:rPr>
      </w:pP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(h) Highway</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The location and operating times will be such that the highway can be</w:t>
      </w:r>
    </w:p>
    <w:p w:rsidR="00926B61" w:rsidRPr="00DE7899" w:rsidRDefault="00926B61" w:rsidP="00926B61">
      <w:pPr>
        <w:autoSpaceDE w:val="0"/>
        <w:autoSpaceDN w:val="0"/>
        <w:adjustRightInd w:val="0"/>
        <w:spacing w:line="360" w:lineRule="auto"/>
        <w:ind w:left="709"/>
        <w:rPr>
          <w:sz w:val="22"/>
          <w:szCs w:val="22"/>
          <w:lang w:eastAsia="en-GB"/>
        </w:rPr>
      </w:pPr>
      <w:r w:rsidRPr="00DE7899">
        <w:rPr>
          <w:sz w:val="22"/>
          <w:szCs w:val="22"/>
          <w:lang w:eastAsia="en-GB"/>
        </w:rPr>
        <w:t>maintained in accordance with the Oxfordshire County Council’s requirements and that there are no dangers to those who have a right to use the highway and no obstruction for emergency access.”</w:t>
      </w:r>
    </w:p>
    <w:p w:rsidR="00926B61" w:rsidRPr="00DE7899" w:rsidRDefault="00926B61" w:rsidP="00926B61">
      <w:pPr>
        <w:pStyle w:val="Default"/>
        <w:spacing w:line="360" w:lineRule="auto"/>
        <w:rPr>
          <w:rFonts w:ascii="Arial" w:hAnsi="Arial" w:cs="Arial"/>
          <w:sz w:val="22"/>
          <w:szCs w:val="22"/>
        </w:rPr>
      </w:pPr>
    </w:p>
    <w:p w:rsidR="006C6728" w:rsidRDefault="006C6728" w:rsidP="006C6728">
      <w:pPr>
        <w:spacing w:line="360" w:lineRule="auto"/>
        <w:jc w:val="both"/>
        <w:rPr>
          <w:b/>
          <w:sz w:val="22"/>
          <w:szCs w:val="22"/>
        </w:rPr>
      </w:pPr>
    </w:p>
    <w:p w:rsidR="00304A22" w:rsidRDefault="00304A22" w:rsidP="006C6728">
      <w:pPr>
        <w:spacing w:line="360" w:lineRule="auto"/>
        <w:jc w:val="both"/>
        <w:rPr>
          <w:b/>
          <w:sz w:val="22"/>
          <w:szCs w:val="22"/>
        </w:rPr>
      </w:pPr>
      <w:r w:rsidRPr="00304A22">
        <w:rPr>
          <w:b/>
          <w:sz w:val="22"/>
          <w:szCs w:val="22"/>
        </w:rPr>
        <w:lastRenderedPageBreak/>
        <w:t>Financial Implications</w:t>
      </w:r>
    </w:p>
    <w:p w:rsidR="00304A22" w:rsidRPr="00304A22" w:rsidRDefault="00304A22" w:rsidP="006C6728">
      <w:pPr>
        <w:spacing w:line="360" w:lineRule="auto"/>
        <w:jc w:val="both"/>
        <w:rPr>
          <w:b/>
          <w:sz w:val="22"/>
          <w:szCs w:val="22"/>
        </w:rPr>
      </w:pPr>
    </w:p>
    <w:p w:rsidR="00304A22" w:rsidRPr="00D8427A" w:rsidRDefault="00F05AAB" w:rsidP="00926B61">
      <w:pPr>
        <w:pStyle w:val="ListParagraph"/>
        <w:numPr>
          <w:ilvl w:val="0"/>
          <w:numId w:val="3"/>
        </w:numPr>
        <w:spacing w:line="360" w:lineRule="auto"/>
        <w:ind w:hanging="436"/>
        <w:jc w:val="both"/>
        <w:rPr>
          <w:sz w:val="22"/>
          <w:szCs w:val="22"/>
        </w:rPr>
      </w:pPr>
      <w:r w:rsidRPr="00D8427A">
        <w:rPr>
          <w:sz w:val="22"/>
          <w:szCs w:val="22"/>
        </w:rPr>
        <w:t>The Council collects fees for the street trading function.  Predicted income</w:t>
      </w:r>
      <w:r w:rsidR="00CD49D2">
        <w:rPr>
          <w:sz w:val="22"/>
          <w:szCs w:val="22"/>
        </w:rPr>
        <w:t xml:space="preserve"> </w:t>
      </w:r>
      <w:r w:rsidRPr="00D8427A">
        <w:rPr>
          <w:sz w:val="22"/>
          <w:szCs w:val="22"/>
        </w:rPr>
        <w:t>from licence fees are included in the Council’s budget.</w:t>
      </w:r>
    </w:p>
    <w:p w:rsidR="00F05AAB" w:rsidRDefault="00F05AAB" w:rsidP="006C6728">
      <w:pPr>
        <w:pStyle w:val="ListParagraph"/>
        <w:spacing w:line="360" w:lineRule="auto"/>
        <w:jc w:val="both"/>
        <w:rPr>
          <w:sz w:val="22"/>
          <w:szCs w:val="22"/>
        </w:rPr>
      </w:pPr>
    </w:p>
    <w:p w:rsidR="00F05AAB" w:rsidRPr="00F05AAB" w:rsidRDefault="00F05AAB" w:rsidP="006C6728">
      <w:pPr>
        <w:pStyle w:val="ListParagraph"/>
        <w:spacing w:line="360" w:lineRule="auto"/>
        <w:ind w:left="0"/>
        <w:jc w:val="both"/>
        <w:rPr>
          <w:b/>
          <w:sz w:val="22"/>
          <w:szCs w:val="22"/>
        </w:rPr>
      </w:pPr>
      <w:r>
        <w:rPr>
          <w:b/>
          <w:sz w:val="22"/>
          <w:szCs w:val="22"/>
        </w:rPr>
        <w:t>Legal Implications</w:t>
      </w:r>
    </w:p>
    <w:p w:rsidR="00304A22" w:rsidRPr="00304A22" w:rsidRDefault="00304A22" w:rsidP="006C6728">
      <w:pPr>
        <w:pStyle w:val="ListParagraph"/>
        <w:spacing w:line="360" w:lineRule="auto"/>
        <w:jc w:val="both"/>
        <w:rPr>
          <w:sz w:val="22"/>
          <w:szCs w:val="22"/>
        </w:rPr>
      </w:pPr>
    </w:p>
    <w:p w:rsidR="00D8427A" w:rsidRPr="00D8427A" w:rsidRDefault="00D8427A" w:rsidP="00926B61">
      <w:pPr>
        <w:pStyle w:val="ListParagraph"/>
        <w:numPr>
          <w:ilvl w:val="0"/>
          <w:numId w:val="3"/>
        </w:numPr>
        <w:spacing w:line="360" w:lineRule="auto"/>
        <w:ind w:hanging="436"/>
        <w:jc w:val="both"/>
        <w:rPr>
          <w:sz w:val="22"/>
          <w:szCs w:val="22"/>
        </w:rPr>
      </w:pPr>
      <w:r w:rsidRPr="00D8427A">
        <w:rPr>
          <w:sz w:val="22"/>
          <w:szCs w:val="22"/>
        </w:rPr>
        <w:t xml:space="preserve">The Sub Committee may grant a Street Trading Consent if it ‘thinks fit’, see paragraph 1 above.  Consent may be revoked at any time.  A street trader cannot be said to enjoy security of tenure and there is no requirement for the Council to give compensation for the loss of any Consent (other than any refund of Consent fees paid in advance). </w:t>
      </w:r>
      <w:r w:rsidR="00293878">
        <w:rPr>
          <w:sz w:val="22"/>
          <w:szCs w:val="22"/>
        </w:rPr>
        <w:t xml:space="preserve">There is no statutory appeal against refusal </w:t>
      </w:r>
      <w:r w:rsidR="00C81ADC">
        <w:rPr>
          <w:sz w:val="22"/>
          <w:szCs w:val="22"/>
        </w:rPr>
        <w:t xml:space="preserve">or revocation </w:t>
      </w:r>
      <w:bookmarkStart w:id="1" w:name="LastEdit"/>
      <w:bookmarkEnd w:id="1"/>
      <w:r w:rsidR="00293878">
        <w:rPr>
          <w:sz w:val="22"/>
          <w:szCs w:val="22"/>
        </w:rPr>
        <w:t>of Consent.</w:t>
      </w:r>
      <w:r w:rsidRPr="00D8427A">
        <w:rPr>
          <w:sz w:val="22"/>
          <w:szCs w:val="22"/>
        </w:rPr>
        <w:t xml:space="preserve"> </w:t>
      </w:r>
    </w:p>
    <w:p w:rsidR="00F05AAB" w:rsidRDefault="00F05AAB" w:rsidP="006C6728">
      <w:pPr>
        <w:pStyle w:val="ListParagraph"/>
        <w:spacing w:line="360" w:lineRule="auto"/>
        <w:jc w:val="both"/>
        <w:rPr>
          <w:sz w:val="22"/>
          <w:szCs w:val="22"/>
        </w:rPr>
      </w:pPr>
    </w:p>
    <w:p w:rsidR="00F05AAB" w:rsidRDefault="00F05AAB" w:rsidP="00926B61">
      <w:pPr>
        <w:pStyle w:val="ListParagraph"/>
        <w:numPr>
          <w:ilvl w:val="0"/>
          <w:numId w:val="3"/>
        </w:numPr>
        <w:spacing w:line="360" w:lineRule="auto"/>
        <w:ind w:hanging="436"/>
        <w:jc w:val="both"/>
        <w:rPr>
          <w:sz w:val="22"/>
          <w:szCs w:val="22"/>
        </w:rPr>
      </w:pPr>
      <w:r>
        <w:rPr>
          <w:sz w:val="22"/>
          <w:szCs w:val="22"/>
        </w:rPr>
        <w:t xml:space="preserve">Any determination of an application for Consent </w:t>
      </w:r>
      <w:r w:rsidR="00293878">
        <w:rPr>
          <w:sz w:val="22"/>
          <w:szCs w:val="22"/>
        </w:rPr>
        <w:t>should</w:t>
      </w:r>
      <w:r>
        <w:rPr>
          <w:sz w:val="22"/>
          <w:szCs w:val="22"/>
        </w:rPr>
        <w:t xml:space="preserve"> tak</w:t>
      </w:r>
      <w:r w:rsidR="00293878">
        <w:rPr>
          <w:sz w:val="22"/>
          <w:szCs w:val="22"/>
        </w:rPr>
        <w:t>e</w:t>
      </w:r>
      <w:r>
        <w:rPr>
          <w:sz w:val="22"/>
          <w:szCs w:val="22"/>
        </w:rPr>
        <w:t xml:space="preserve"> into account all relevant circumstances and the </w:t>
      </w:r>
      <w:r w:rsidR="00C81ADC">
        <w:rPr>
          <w:sz w:val="22"/>
          <w:szCs w:val="22"/>
        </w:rPr>
        <w:t>Applicant’s</w:t>
      </w:r>
      <w:r>
        <w:rPr>
          <w:sz w:val="22"/>
          <w:szCs w:val="22"/>
        </w:rPr>
        <w:t xml:space="preserve"> right to a fair hearing.  An application should not be refused arbitrarily </w:t>
      </w:r>
      <w:r w:rsidR="00293878">
        <w:rPr>
          <w:sz w:val="22"/>
          <w:szCs w:val="22"/>
        </w:rPr>
        <w:t>or</w:t>
      </w:r>
      <w:r>
        <w:rPr>
          <w:sz w:val="22"/>
          <w:szCs w:val="22"/>
        </w:rPr>
        <w:t xml:space="preserve"> without clear reason.</w:t>
      </w:r>
    </w:p>
    <w:p w:rsidR="00F05AAB" w:rsidRPr="00F05AAB" w:rsidRDefault="00F05AAB" w:rsidP="006C6728">
      <w:pPr>
        <w:pStyle w:val="ListParagraph"/>
        <w:spacing w:line="360" w:lineRule="auto"/>
        <w:jc w:val="both"/>
        <w:rPr>
          <w:sz w:val="22"/>
          <w:szCs w:val="22"/>
        </w:rPr>
      </w:pPr>
    </w:p>
    <w:p w:rsidR="00F05AAB" w:rsidRPr="00F05AAB" w:rsidRDefault="00F05AAB" w:rsidP="006C6728">
      <w:pPr>
        <w:pStyle w:val="ListParagraph"/>
        <w:spacing w:line="360" w:lineRule="auto"/>
        <w:jc w:val="both"/>
        <w:rPr>
          <w:sz w:val="22"/>
          <w:szCs w:val="22"/>
        </w:rPr>
      </w:pPr>
    </w:p>
    <w:p w:rsidR="00845F2C" w:rsidRDefault="00845F2C" w:rsidP="006C6728">
      <w:pPr>
        <w:pStyle w:val="ListParagraph"/>
        <w:spacing w:line="360" w:lineRule="auto"/>
        <w:ind w:left="0"/>
        <w:jc w:val="both"/>
        <w:rPr>
          <w:sz w:val="22"/>
          <w:szCs w:val="22"/>
        </w:rPr>
      </w:pPr>
    </w:p>
    <w:p w:rsidR="00845F2C" w:rsidRDefault="00845F2C" w:rsidP="006C6728">
      <w:pPr>
        <w:pStyle w:val="ListParagraph"/>
        <w:tabs>
          <w:tab w:val="left" w:pos="0"/>
        </w:tabs>
        <w:spacing w:line="360" w:lineRule="auto"/>
        <w:ind w:left="0"/>
        <w:jc w:val="both"/>
        <w:rPr>
          <w:sz w:val="22"/>
          <w:szCs w:val="22"/>
        </w:rPr>
      </w:pPr>
      <w:r>
        <w:rPr>
          <w:b/>
          <w:sz w:val="22"/>
          <w:szCs w:val="22"/>
        </w:rPr>
        <w:t xml:space="preserve">Name and contact details of the author: </w:t>
      </w:r>
      <w:r>
        <w:rPr>
          <w:b/>
          <w:sz w:val="22"/>
          <w:szCs w:val="22"/>
        </w:rPr>
        <w:tab/>
      </w:r>
      <w:r w:rsidR="00E56FA0">
        <w:rPr>
          <w:sz w:val="22"/>
          <w:szCs w:val="22"/>
        </w:rPr>
        <w:t xml:space="preserve">Samantha Broome </w:t>
      </w:r>
    </w:p>
    <w:p w:rsidR="00845F2C" w:rsidRPr="00845F2C" w:rsidRDefault="00845F2C" w:rsidP="006C6728">
      <w:pPr>
        <w:pStyle w:val="ListParagraph"/>
        <w:spacing w:line="360"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845F2C">
        <w:rPr>
          <w:sz w:val="22"/>
          <w:szCs w:val="22"/>
        </w:rPr>
        <w:t>Tel: 01865 252</w:t>
      </w:r>
      <w:r w:rsidR="00E56FA0">
        <w:rPr>
          <w:sz w:val="22"/>
          <w:szCs w:val="22"/>
        </w:rPr>
        <w:t>558</w:t>
      </w:r>
    </w:p>
    <w:p w:rsidR="00B9683A" w:rsidRDefault="00845F2C" w:rsidP="006C6728">
      <w:pPr>
        <w:pStyle w:val="ListParagraph"/>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hyperlink r:id="rId9" w:history="1">
        <w:r w:rsidR="006505B7" w:rsidRPr="004532C1">
          <w:rPr>
            <w:rStyle w:val="Hyperlink"/>
            <w:sz w:val="22"/>
            <w:szCs w:val="22"/>
          </w:rPr>
          <w:t>sjbroome@oxford.gov.uk</w:t>
        </w:r>
      </w:hyperlink>
      <w:r w:rsidR="00B9683A">
        <w:rPr>
          <w:sz w:val="22"/>
          <w:szCs w:val="22"/>
        </w:rPr>
        <w:t xml:space="preserve"> </w:t>
      </w:r>
    </w:p>
    <w:p w:rsidR="00845F2C" w:rsidRPr="00845F2C" w:rsidRDefault="00845F2C" w:rsidP="00D8427A">
      <w:pPr>
        <w:pStyle w:val="ListParagraph"/>
        <w:spacing w:line="360" w:lineRule="auto"/>
        <w:jc w:val="both"/>
        <w:rPr>
          <w:sz w:val="22"/>
          <w:szCs w:val="22"/>
        </w:rPr>
      </w:pPr>
      <w:r w:rsidRPr="00D8427A">
        <w:rPr>
          <w:b/>
          <w:sz w:val="22"/>
          <w:szCs w:val="22"/>
        </w:rPr>
        <w:tab/>
      </w:r>
      <w:r w:rsidRPr="00D8427A">
        <w:rPr>
          <w:b/>
          <w:sz w:val="22"/>
          <w:szCs w:val="22"/>
        </w:rPr>
        <w:tab/>
      </w:r>
      <w:r w:rsidRPr="00D8427A">
        <w:rPr>
          <w:b/>
          <w:sz w:val="22"/>
          <w:szCs w:val="22"/>
        </w:rPr>
        <w:tab/>
      </w:r>
      <w:r w:rsidRPr="00D8427A">
        <w:rPr>
          <w:b/>
          <w:sz w:val="22"/>
          <w:szCs w:val="22"/>
        </w:rPr>
        <w:tab/>
      </w:r>
      <w:r w:rsidRPr="00D8427A">
        <w:rPr>
          <w:b/>
          <w:sz w:val="22"/>
          <w:szCs w:val="22"/>
        </w:rPr>
        <w:tab/>
      </w:r>
    </w:p>
    <w:p w:rsidR="00845F2C" w:rsidRPr="00845F2C" w:rsidRDefault="00E56FA0" w:rsidP="006C6728">
      <w:pPr>
        <w:spacing w:line="360" w:lineRule="auto"/>
        <w:jc w:val="both"/>
        <w:rPr>
          <w:b/>
          <w:sz w:val="22"/>
          <w:szCs w:val="22"/>
        </w:rPr>
      </w:pPr>
      <w:r>
        <w:rPr>
          <w:b/>
          <w:sz w:val="22"/>
          <w:szCs w:val="22"/>
        </w:rPr>
        <w:t xml:space="preserve">Version number: </w:t>
      </w:r>
      <w:r>
        <w:rPr>
          <w:b/>
          <w:sz w:val="22"/>
          <w:szCs w:val="22"/>
        </w:rPr>
        <w:tab/>
      </w:r>
      <w:r w:rsidR="00CD49D2">
        <w:rPr>
          <w:b/>
          <w:sz w:val="22"/>
          <w:szCs w:val="22"/>
        </w:rPr>
        <w:t>2</w:t>
      </w:r>
    </w:p>
    <w:sectPr w:rsidR="00845F2C" w:rsidRPr="00845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1E" w:rsidRDefault="0069611E" w:rsidP="0069611E">
      <w:r>
        <w:separator/>
      </w:r>
    </w:p>
  </w:endnote>
  <w:endnote w:type="continuationSeparator" w:id="0">
    <w:p w:rsidR="0069611E" w:rsidRDefault="0069611E" w:rsidP="006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IKL N+ Lucida Sans">
    <w:altName w:val="Lucida Sans"/>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1E" w:rsidRDefault="0069611E" w:rsidP="0069611E">
      <w:r>
        <w:separator/>
      </w:r>
    </w:p>
  </w:footnote>
  <w:footnote w:type="continuationSeparator" w:id="0">
    <w:p w:rsidR="0069611E" w:rsidRDefault="0069611E" w:rsidP="0069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84B"/>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06E0C"/>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13CE1"/>
    <w:multiLevelType w:val="hybridMultilevel"/>
    <w:tmpl w:val="78C82A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B5810"/>
    <w:multiLevelType w:val="hybridMultilevel"/>
    <w:tmpl w:val="9864B04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232C42"/>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03C7"/>
    <w:multiLevelType w:val="hybridMultilevel"/>
    <w:tmpl w:val="0FC0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E3697"/>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45C4B"/>
    <w:multiLevelType w:val="hybridMultilevel"/>
    <w:tmpl w:val="FD3692D6"/>
    <w:lvl w:ilvl="0" w:tplc="9B20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3F3E3B"/>
    <w:multiLevelType w:val="hybridMultilevel"/>
    <w:tmpl w:val="D820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96461"/>
    <w:multiLevelType w:val="hybridMultilevel"/>
    <w:tmpl w:val="DA2A300A"/>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7"/>
  </w:num>
  <w:num w:numId="5">
    <w:abstractNumId w:val="3"/>
  </w:num>
  <w:num w:numId="6">
    <w:abstractNumId w:val="9"/>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6/02/2020 11:45"/>
  </w:docVars>
  <w:rsids>
    <w:rsidRoot w:val="00AB4CB7"/>
    <w:rsid w:val="00023729"/>
    <w:rsid w:val="000310A2"/>
    <w:rsid w:val="00070EA0"/>
    <w:rsid w:val="00095B49"/>
    <w:rsid w:val="000B4310"/>
    <w:rsid w:val="000E62FB"/>
    <w:rsid w:val="000F56E2"/>
    <w:rsid w:val="0014207B"/>
    <w:rsid w:val="001D021D"/>
    <w:rsid w:val="001D3B65"/>
    <w:rsid w:val="0022117C"/>
    <w:rsid w:val="00225155"/>
    <w:rsid w:val="002509F2"/>
    <w:rsid w:val="00256A82"/>
    <w:rsid w:val="00270718"/>
    <w:rsid w:val="00277571"/>
    <w:rsid w:val="00293878"/>
    <w:rsid w:val="002B5786"/>
    <w:rsid w:val="002B76D8"/>
    <w:rsid w:val="002C15D9"/>
    <w:rsid w:val="002C2D26"/>
    <w:rsid w:val="002C6656"/>
    <w:rsid w:val="002D758E"/>
    <w:rsid w:val="00304A22"/>
    <w:rsid w:val="0031320B"/>
    <w:rsid w:val="00320082"/>
    <w:rsid w:val="003436C8"/>
    <w:rsid w:val="0035137B"/>
    <w:rsid w:val="0037469C"/>
    <w:rsid w:val="003A0478"/>
    <w:rsid w:val="003B6798"/>
    <w:rsid w:val="003F43C3"/>
    <w:rsid w:val="003F68E8"/>
    <w:rsid w:val="004000D7"/>
    <w:rsid w:val="00426A02"/>
    <w:rsid w:val="004752F8"/>
    <w:rsid w:val="004865FF"/>
    <w:rsid w:val="004E583E"/>
    <w:rsid w:val="0050334E"/>
    <w:rsid w:val="00504E43"/>
    <w:rsid w:val="0051018A"/>
    <w:rsid w:val="00516AD1"/>
    <w:rsid w:val="00527E96"/>
    <w:rsid w:val="00533C6C"/>
    <w:rsid w:val="0054446B"/>
    <w:rsid w:val="00551C7D"/>
    <w:rsid w:val="00553137"/>
    <w:rsid w:val="0056256A"/>
    <w:rsid w:val="00596421"/>
    <w:rsid w:val="005A7DDD"/>
    <w:rsid w:val="005C0306"/>
    <w:rsid w:val="005E321E"/>
    <w:rsid w:val="005E35D8"/>
    <w:rsid w:val="0063181D"/>
    <w:rsid w:val="006505B7"/>
    <w:rsid w:val="00653C00"/>
    <w:rsid w:val="0066193D"/>
    <w:rsid w:val="006619CD"/>
    <w:rsid w:val="0067798C"/>
    <w:rsid w:val="0068256F"/>
    <w:rsid w:val="0069611E"/>
    <w:rsid w:val="006B7DBC"/>
    <w:rsid w:val="006C40BB"/>
    <w:rsid w:val="006C6728"/>
    <w:rsid w:val="006E33A7"/>
    <w:rsid w:val="007637DA"/>
    <w:rsid w:val="00773939"/>
    <w:rsid w:val="007908F4"/>
    <w:rsid w:val="007A5311"/>
    <w:rsid w:val="007E11B1"/>
    <w:rsid w:val="007F6D90"/>
    <w:rsid w:val="00831967"/>
    <w:rsid w:val="00843DFE"/>
    <w:rsid w:val="00845F2C"/>
    <w:rsid w:val="008651F3"/>
    <w:rsid w:val="00866C3C"/>
    <w:rsid w:val="008A22C6"/>
    <w:rsid w:val="008C4206"/>
    <w:rsid w:val="008D5446"/>
    <w:rsid w:val="00916ED4"/>
    <w:rsid w:val="00926B61"/>
    <w:rsid w:val="00931E82"/>
    <w:rsid w:val="00932C22"/>
    <w:rsid w:val="00974BBC"/>
    <w:rsid w:val="009759B2"/>
    <w:rsid w:val="009C462C"/>
    <w:rsid w:val="009D56D2"/>
    <w:rsid w:val="009E2ED3"/>
    <w:rsid w:val="00A2647F"/>
    <w:rsid w:val="00A34150"/>
    <w:rsid w:val="00A426D6"/>
    <w:rsid w:val="00A72231"/>
    <w:rsid w:val="00AA16CF"/>
    <w:rsid w:val="00AB4CB7"/>
    <w:rsid w:val="00AB5EC5"/>
    <w:rsid w:val="00AB77F6"/>
    <w:rsid w:val="00AF61DD"/>
    <w:rsid w:val="00AF6FCF"/>
    <w:rsid w:val="00B102EB"/>
    <w:rsid w:val="00B16ECA"/>
    <w:rsid w:val="00B9683A"/>
    <w:rsid w:val="00BB488A"/>
    <w:rsid w:val="00BD3687"/>
    <w:rsid w:val="00BF3187"/>
    <w:rsid w:val="00C04708"/>
    <w:rsid w:val="00C074B3"/>
    <w:rsid w:val="00C07F80"/>
    <w:rsid w:val="00C26BFA"/>
    <w:rsid w:val="00C5200A"/>
    <w:rsid w:val="00C54F21"/>
    <w:rsid w:val="00C56E19"/>
    <w:rsid w:val="00C61E46"/>
    <w:rsid w:val="00C64077"/>
    <w:rsid w:val="00C73F11"/>
    <w:rsid w:val="00C81ADC"/>
    <w:rsid w:val="00C900CB"/>
    <w:rsid w:val="00CA529A"/>
    <w:rsid w:val="00CD49D2"/>
    <w:rsid w:val="00CD7779"/>
    <w:rsid w:val="00CF59D6"/>
    <w:rsid w:val="00CF6ED5"/>
    <w:rsid w:val="00D8427A"/>
    <w:rsid w:val="00DA7E22"/>
    <w:rsid w:val="00DB5826"/>
    <w:rsid w:val="00DB5DE5"/>
    <w:rsid w:val="00DC142F"/>
    <w:rsid w:val="00DC1E18"/>
    <w:rsid w:val="00DE5FA0"/>
    <w:rsid w:val="00DE7899"/>
    <w:rsid w:val="00E000EE"/>
    <w:rsid w:val="00E1536C"/>
    <w:rsid w:val="00E56FA0"/>
    <w:rsid w:val="00EB0EEE"/>
    <w:rsid w:val="00EE0A7B"/>
    <w:rsid w:val="00EF35F0"/>
    <w:rsid w:val="00EF6CA2"/>
    <w:rsid w:val="00F05AAB"/>
    <w:rsid w:val="00F35700"/>
    <w:rsid w:val="00F4018B"/>
    <w:rsid w:val="00F5276C"/>
    <w:rsid w:val="00FB0745"/>
    <w:rsid w:val="00FD3A85"/>
    <w:rsid w:val="00FE30BC"/>
    <w:rsid w:val="00FE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C38C5-ADCC-47B0-B04E-F265058F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 w:type="character" w:styleId="CommentReference">
    <w:name w:val="annotation reference"/>
    <w:basedOn w:val="DefaultParagraphFont"/>
    <w:uiPriority w:val="99"/>
    <w:semiHidden/>
    <w:unhideWhenUsed/>
    <w:rsid w:val="00DB5DE5"/>
    <w:rPr>
      <w:sz w:val="16"/>
      <w:szCs w:val="16"/>
    </w:rPr>
  </w:style>
  <w:style w:type="paragraph" w:styleId="CommentText">
    <w:name w:val="annotation text"/>
    <w:basedOn w:val="Normal"/>
    <w:link w:val="CommentTextChar"/>
    <w:uiPriority w:val="99"/>
    <w:semiHidden/>
    <w:unhideWhenUsed/>
    <w:rsid w:val="00DB5DE5"/>
    <w:rPr>
      <w:sz w:val="20"/>
      <w:szCs w:val="20"/>
    </w:rPr>
  </w:style>
  <w:style w:type="character" w:customStyle="1" w:styleId="CommentTextChar">
    <w:name w:val="Comment Text Char"/>
    <w:basedOn w:val="DefaultParagraphFont"/>
    <w:link w:val="CommentText"/>
    <w:uiPriority w:val="99"/>
    <w:semiHidden/>
    <w:rsid w:val="00DB5DE5"/>
    <w:rPr>
      <w:sz w:val="20"/>
      <w:szCs w:val="20"/>
    </w:rPr>
  </w:style>
  <w:style w:type="paragraph" w:styleId="CommentSubject">
    <w:name w:val="annotation subject"/>
    <w:basedOn w:val="CommentText"/>
    <w:next w:val="CommentText"/>
    <w:link w:val="CommentSubjectChar"/>
    <w:uiPriority w:val="99"/>
    <w:semiHidden/>
    <w:unhideWhenUsed/>
    <w:rsid w:val="00DB5DE5"/>
    <w:rPr>
      <w:b/>
      <w:bCs/>
    </w:rPr>
  </w:style>
  <w:style w:type="character" w:customStyle="1" w:styleId="CommentSubjectChar">
    <w:name w:val="Comment Subject Char"/>
    <w:basedOn w:val="CommentTextChar"/>
    <w:link w:val="CommentSubject"/>
    <w:uiPriority w:val="99"/>
    <w:semiHidden/>
    <w:rsid w:val="00DB5DE5"/>
    <w:rPr>
      <w:b/>
      <w:bCs/>
      <w:sz w:val="20"/>
      <w:szCs w:val="20"/>
    </w:rPr>
  </w:style>
  <w:style w:type="paragraph" w:styleId="BalloonText">
    <w:name w:val="Balloon Text"/>
    <w:basedOn w:val="Normal"/>
    <w:link w:val="BalloonTextChar"/>
    <w:uiPriority w:val="99"/>
    <w:semiHidden/>
    <w:unhideWhenUsed/>
    <w:rsid w:val="00DB5DE5"/>
    <w:rPr>
      <w:rFonts w:ascii="Tahoma" w:hAnsi="Tahoma" w:cs="Tahoma"/>
      <w:sz w:val="16"/>
      <w:szCs w:val="16"/>
    </w:rPr>
  </w:style>
  <w:style w:type="character" w:customStyle="1" w:styleId="BalloonTextChar">
    <w:name w:val="Balloon Text Char"/>
    <w:basedOn w:val="DefaultParagraphFont"/>
    <w:link w:val="BalloonText"/>
    <w:uiPriority w:val="99"/>
    <w:semiHidden/>
    <w:rsid w:val="00DB5DE5"/>
    <w:rPr>
      <w:rFonts w:ascii="Tahoma" w:hAnsi="Tahoma" w:cs="Tahoma"/>
      <w:sz w:val="16"/>
      <w:szCs w:val="16"/>
    </w:rPr>
  </w:style>
  <w:style w:type="paragraph" w:customStyle="1" w:styleId="Default">
    <w:name w:val="Default"/>
    <w:rsid w:val="00DE7899"/>
    <w:pPr>
      <w:autoSpaceDE w:val="0"/>
      <w:autoSpaceDN w:val="0"/>
      <w:adjustRightInd w:val="0"/>
    </w:pPr>
    <w:rPr>
      <w:rFonts w:ascii="ACIKL N+ Lucida Sans" w:eastAsia="Times New Roman" w:hAnsi="ACIKL N+ Lucida Sans"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broome@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A317-352C-4832-865B-0D949FC1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F200A28B</Template>
  <TotalTime>6</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BROOME Samantha J.</cp:lastModifiedBy>
  <cp:revision>6</cp:revision>
  <dcterms:created xsi:type="dcterms:W3CDTF">2020-02-26T11:47:00Z</dcterms:created>
  <dcterms:modified xsi:type="dcterms:W3CDTF">2020-03-04T16:22:00Z</dcterms:modified>
</cp:coreProperties>
</file>